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гражданская  и муниципальная служба  в РФ</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и муниципальная служба  в РФ»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«Государственная гражданская  и муниципальная служба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гражданская  и муниципальная служба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задачи и функции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принципы регионального представительства и бикамерализма; теорию сравнительного федерализма Д. Дж. Элейзера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теоретические основы местного самоуправления (теория свободной общины, государственная теория, хозяйственная теория); основные этапы развития местного самоуправления в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применять в профессиональной деятельности принципы регионального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представительства и бикамерализма; теорию сравнительного федерализма Д. Дж. Элейзера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применять в профессиональной деятельности принципы и факторы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применять в профессиональной деятельности теории управления в государственном и муниципальном управлении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применения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применения в профессиональной деятельности принципов регионального представительства и бикамерализма; теории сравнительного федерализма Д. Дж. Элейзера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применения в профессиональной деятельности принципов и факторов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в профессиональной деятельности теоретических основ местного самоуправления (теория свободной общины, государственная теория, хозяйственная теория); основных этапов развития местного самоуправления в России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«Государственная гражданская  и муниципальная служба  в РФ»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государственного служащего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социальный, правовой и организационный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Должности и классные чины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Конкурс на замещение вакантной должности и испытательный срок на государственной гражданской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Аттестация государственного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Аттестация государственного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Формирование и работа с кадровым резервом государственной гражданской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Профессиональная этика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Профессиональная этика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социальный, правовой и организационный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Должности и классные чины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Конкурс на замещение вакантной должности и испытательный срок на государственной гражданской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41.4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социальный, правовой и организационный институт</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особенности государственной службы как системы. Уровни и виды государственной службы. Военная служба. Правоохранительная служба. Государственная гражданская служба. Федеральная государственная гражданская служба и государственная гражданская служба субъекта Российской Федерации. Подходы к определению места государственной службы в системе государственного управления. Государственная служба как механизм, институт и технология управления. Проблемы реформирования и развития государственной службы Российской Федерации. Обеспечение устойчивости, эффективности системы государственной службы в процессе ее реформирования Правовое регулирование государственной гражданской и муниципальной службы в Российской Федерации и её субъектах: Федеральный закон от 27 июля 2004 года N 79-ФЗ «О государственной гражданской службе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Должности и классные чины государственных гражданских и муниципальных служащих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Должности государственной гражданской службы. Классификация должностей. Реестры должностей государственной гражданской службы. Квалификационные требования к должностям государственной гражданской службе. Замещение вакантных должностей государственной гражданской службы: порядок и условия. Правовое и нормативное регулирования замещения вакантных должностей государственной гражданской службы. Категории должностей: руководители, помощники, специалисты, обеспечивающие специалисты. Классные чины государственной гражданской службы. Условия и порядок присвоения классных чинов государственным гражданским служащим.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Конкурс на замещение вакантной должности и испытательный срок на государственной гражданской службе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Конкурсный обор как кадровая технология. Функции конкурсного отбора: реализация принципа равного доступа на государственную гражданскую службу; увеличение притока профессионалов; объективность оценки профессиональной пригодности кандидата на замещение вакантной должности; формирование кадрового резерва. Документы, представляемые гражданином для участия в конкурсе на замещение вакантной должности государственной гражданской службы. Порядок принятия решения о допуске гражданина (государственного гражданского служащего) к участию в конкурсе. Содержание подготовительного этапа проведения конкурса. Состав конкурсной комиссии. Процедура заседания и решения конкурсной комиссии. Создание эффективных и прозрачных механизмов конкурсного отбора, включая проведение предварительного отбора кандидатов с использованием информационно- коммуникационных технологий. Формирование единой базы вакансий. Служебный контракт с государственным гражданским и муниципальным служащим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Аттестация государственного гражданского и муниципального служащего</w:t>
            </w:r>
          </w:p>
        </w:tc>
      </w:tr>
      <w:tr>
        <w:trPr>
          <w:trHeight w:hRule="exact" w:val="2764.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основные задачи и функции аттестации государственных гражданских служащих. Порядок проведения аттестации. Условия проведения внеочередной аттестации. Структура и содержание правового акта государственного органа о подготовке и проведении аттестации. Подготовительный период проведения аттестации. Основные задачи подготовительного этапа. Разработка плана подготовки и проведения аттестации государственных гражданских служащих. Порядок формирования и состав аттестационной комиссии. Роль руководителей организационных структур, кадровой службы, исполнителей и привлеченных лиц в подготовке и проведении аттестации. Документы, представляемые непосредственным руководителем на аттестационную комиссию Аттестационный период (аттестационный процесс). Оценка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непосредственным руководителем подчиненного. Основные методы и приёмы, формирующие оценку аттестуемого государственного гражданского служащего. Порядок работы аттестационной комиссии. Процедура аттестации. Принимаемые решения (выводы) аттестационной комиссии. Послеаттестационный период. Механизмы реализации рекомендательных предложений аттестационных комиссий. Организация работы по реализации итогов аттестации. Условия и пути повышения эффективности аттестации как кадровой технологии. Цели и задачи проведения квалификационного экзамена. Субъект и объект оценки уровня профессионализма. Порядок и процедура квалификационного экзамена. Содержание квалификационного экзамена. Методы оценки знаний, умений и навыков государственных гражданских служащих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социальный, правовой и организационный институт</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Взаимосвязь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Система и общая характеристика источников права, регулирующих служебные отношения.</w:t>
            </w:r>
          </w:p>
          <w:p>
            <w:pPr>
              <w:jc w:val="left"/>
              <w:spacing w:after="0" w:line="240" w:lineRule="auto"/>
              <w:rPr>
                <w:sz w:val="24"/>
                <w:szCs w:val="24"/>
              </w:rPr>
            </w:pPr>
            <w:r>
              <w:rPr>
                <w:rFonts w:ascii="Times New Roman" w:hAnsi="Times New Roman" w:cs="Times New Roman"/>
                <w:color w:val="#000000"/>
                <w:sz w:val="24"/>
                <w:szCs w:val="24"/>
              </w:rPr>
              <w:t> 5. Основные права и обязанности государственного и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6. Ограничения и запреты, связанные с государственной и муниципальной службой.</w:t>
            </w:r>
          </w:p>
          <w:p>
            <w:pPr>
              <w:jc w:val="left"/>
              <w:spacing w:after="0" w:line="240" w:lineRule="auto"/>
              <w:rPr>
                <w:sz w:val="24"/>
                <w:szCs w:val="24"/>
              </w:rPr>
            </w:pPr>
            <w:r>
              <w:rPr>
                <w:rFonts w:ascii="Times New Roman" w:hAnsi="Times New Roman" w:cs="Times New Roman"/>
                <w:color w:val="#000000"/>
                <w:sz w:val="24"/>
                <w:szCs w:val="24"/>
              </w:rPr>
              <w:t> 7. Требования к служебному поведению государственного и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8. Урегулирование конфликта интересов на государственно и муниципальной службе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Должности и классные чины государственных гражданских и муниципальных служащих</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порядок учреждения и классификация должностей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Реестр должностей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Классные чины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Квалификационные требования, предъявляемые к должностям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5. Квалификационные требования, предъявляемые к должностям муниципальной службы.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Конкурс на замещение вакантной должности и испытательный срок на государственной гражданской службе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 на поступление на государственную гражданскую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2. Ограничения при поступлении на государственную службу.</w:t>
            </w:r>
          </w:p>
          <w:p>
            <w:pPr>
              <w:jc w:val="left"/>
              <w:spacing w:after="0" w:line="240" w:lineRule="auto"/>
              <w:rPr>
                <w:sz w:val="24"/>
                <w:szCs w:val="24"/>
              </w:rPr>
            </w:pPr>
            <w:r>
              <w:rPr>
                <w:rFonts w:ascii="Times New Roman" w:hAnsi="Times New Roman" w:cs="Times New Roman"/>
                <w:color w:val="#000000"/>
                <w:sz w:val="24"/>
                <w:szCs w:val="24"/>
              </w:rPr>
              <w:t> 3. Повышение квалификации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4. Программы развития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Содержание и форма служебного контракта.</w:t>
            </w:r>
          </w:p>
          <w:p>
            <w:pPr>
              <w:jc w:val="left"/>
              <w:spacing w:after="0" w:line="240" w:lineRule="auto"/>
              <w:rPr>
                <w:sz w:val="24"/>
                <w:szCs w:val="24"/>
              </w:rPr>
            </w:pPr>
            <w:r>
              <w:rPr>
                <w:rFonts w:ascii="Times New Roman" w:hAnsi="Times New Roman" w:cs="Times New Roman"/>
                <w:color w:val="#000000"/>
                <w:sz w:val="24"/>
                <w:szCs w:val="24"/>
              </w:rPr>
              <w:t> 6. Заключение служебного контракта. Испытание при поступлении на государственную гражданскую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7. Прекращение служебного контракта. Последствия прекращения служебного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гражданская  и муниципальная служба  в РФ»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гражданской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Заборовская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https://urait.ru/bcode/496791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https://urait.ru/bcode/490375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2022-2023_ФГОС3++2022_Бак-ЗФО-ГМУ(ПО)(22)_plx_Государственная гражданская  и муниципальная служба  в РФ</dc:title>
  <dc:creator>FastReport.NET</dc:creator>
</cp:coreProperties>
</file>